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25FEI84506</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fbe20dbec18232bf09ad7bb798653c0a">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08f71cea6611171c4d4d89ce5afaed0d"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87AFF101-EF4F-41CB-AF7F-E888FD0D9A3E}"/>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